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C7" w:rsidRPr="003C31C7" w:rsidRDefault="003C31C7" w:rsidP="003C31C7">
      <w:pPr>
        <w:jc w:val="both"/>
        <w:rPr>
          <w:u w:val="single"/>
        </w:rPr>
      </w:pPr>
      <w:r w:rsidRPr="003C31C7">
        <w:rPr>
          <w:u w:val="single"/>
        </w:rPr>
        <w:t>Ordinanza del Tribunale di Avezzano del 29 ottobre 2014: al verbale di mediazione omologato non serve la formula esecutiva</w:t>
      </w:r>
    </w:p>
    <w:p w:rsidR="003C31C7" w:rsidRPr="003C31C7" w:rsidRDefault="003C31C7" w:rsidP="003C31C7">
      <w:pPr>
        <w:jc w:val="both"/>
        <w:rPr>
          <w:b/>
        </w:rPr>
      </w:pPr>
      <w:proofErr w:type="spellStart"/>
      <w:r w:rsidRPr="003C31C7">
        <w:rPr>
          <w:b/>
        </w:rPr>
        <w:t>Trib</w:t>
      </w:r>
      <w:proofErr w:type="spellEnd"/>
      <w:r w:rsidRPr="003C31C7">
        <w:rPr>
          <w:b/>
        </w:rPr>
        <w:t>. di: Avezzano - Ordinanza del: 29-10-2014 - Giudice: Andrea Dell'Orso</w:t>
      </w:r>
      <w:r w:rsidRPr="003C31C7">
        <w:rPr>
          <w:b/>
        </w:rPr>
        <w:tab/>
      </w:r>
      <w:r w:rsidRPr="003C31C7">
        <w:rPr>
          <w:b/>
        </w:rPr>
        <w:br/>
      </w:r>
    </w:p>
    <w:p w:rsidR="003C31C7" w:rsidRPr="003C31C7" w:rsidRDefault="003C31C7" w:rsidP="003C31C7">
      <w:pPr>
        <w:jc w:val="both"/>
      </w:pPr>
      <w:bookmarkStart w:id="0" w:name="_GoBack"/>
      <w:bookmarkEnd w:id="0"/>
      <w:r w:rsidRPr="003C31C7">
        <w:rPr>
          <w:i/>
          <w:iCs/>
        </w:rPr>
        <w:t>…omissis…</w:t>
      </w:r>
    </w:p>
    <w:p w:rsidR="003C31C7" w:rsidRPr="003C31C7" w:rsidRDefault="003C31C7" w:rsidP="003C31C7">
      <w:pPr>
        <w:jc w:val="both"/>
      </w:pPr>
      <w:r w:rsidRPr="003C31C7">
        <w:t>Considerato che costituendosi in giudizio la convenuta eccepiva l’incompetenza per valore del giudice adito in favore dell’ufficio del Giudice di Pace di Avezzano;</w:t>
      </w:r>
    </w:p>
    <w:p w:rsidR="003C31C7" w:rsidRPr="003C31C7" w:rsidRDefault="003C31C7" w:rsidP="003C31C7">
      <w:pPr>
        <w:jc w:val="both"/>
      </w:pPr>
      <w:r w:rsidRPr="003C31C7">
        <w:t>Rilevato che la giurisprudenza di legittimità (</w:t>
      </w:r>
      <w:proofErr w:type="spellStart"/>
      <w:r w:rsidRPr="003C31C7">
        <w:t>cfr</w:t>
      </w:r>
      <w:proofErr w:type="spellEnd"/>
      <w:r w:rsidRPr="003C31C7">
        <w:t xml:space="preserve"> Cass.Civ.1372/2000) e di merito, eccetto isolati casi, ha sostenuto che poiché l’inizio della procedura esecutiva si ha con il pignoramento, avendo il precetto la sola funzione di preannunciare il soddisfacimento coatto dell’azionata pretesa, è da considerarsi </w:t>
      </w:r>
      <w:proofErr w:type="spellStart"/>
      <w:r w:rsidRPr="003C31C7">
        <w:t>tamquam</w:t>
      </w:r>
      <w:proofErr w:type="spellEnd"/>
      <w:r w:rsidRPr="003C31C7">
        <w:t xml:space="preserve"> non </w:t>
      </w:r>
      <w:proofErr w:type="spellStart"/>
      <w:r w:rsidRPr="003C31C7">
        <w:t>esset</w:t>
      </w:r>
      <w:proofErr w:type="spellEnd"/>
      <w:r w:rsidRPr="003C31C7">
        <w:t xml:space="preserve"> il provvedimento di sospensione emanato prima dell’inizio dell’esecuzione;</w:t>
      </w:r>
    </w:p>
    <w:p w:rsidR="003C31C7" w:rsidRPr="003C31C7" w:rsidRDefault="003C31C7" w:rsidP="003C31C7">
      <w:pPr>
        <w:jc w:val="both"/>
      </w:pPr>
      <w:r w:rsidRPr="003C31C7">
        <w:t xml:space="preserve">Considerato che questa soluzione esegetica è stata avvalorata anche dalla giurisprudenza costituzionale avendo la Consulta dichiarato la manifesta infondatezza della questione di legittimità costituzionale degli </w:t>
      </w:r>
      <w:proofErr w:type="spellStart"/>
      <w:r w:rsidRPr="003C31C7">
        <w:t>artt</w:t>
      </w:r>
      <w:proofErr w:type="spellEnd"/>
      <w:r w:rsidRPr="003C31C7">
        <w:t xml:space="preserve"> 615, 623, 624 </w:t>
      </w:r>
      <w:proofErr w:type="spellStart"/>
      <w:r w:rsidRPr="003C31C7">
        <w:t>cpc</w:t>
      </w:r>
      <w:proofErr w:type="spellEnd"/>
      <w:r w:rsidRPr="003C31C7">
        <w:t xml:space="preserve"> nella parte in cui, secondo l’interpretazione consolidata, non consentivano la sospensione dell’esecuzione sulla scorta del solo atto di precetto (</w:t>
      </w:r>
      <w:proofErr w:type="spellStart"/>
      <w:r w:rsidRPr="003C31C7">
        <w:t>cfr</w:t>
      </w:r>
      <w:proofErr w:type="spellEnd"/>
      <w:r w:rsidRPr="003C31C7">
        <w:t xml:space="preserve"> Corte </w:t>
      </w:r>
      <w:proofErr w:type="spellStart"/>
      <w:r w:rsidRPr="003C31C7">
        <w:t>Cost.n</w:t>
      </w:r>
      <w:proofErr w:type="spellEnd"/>
      <w:r w:rsidRPr="003C31C7">
        <w:t>. 234/92)</w:t>
      </w:r>
    </w:p>
    <w:p w:rsidR="003C31C7" w:rsidRPr="003C31C7" w:rsidRDefault="003C31C7" w:rsidP="003C31C7">
      <w:pPr>
        <w:jc w:val="both"/>
      </w:pPr>
      <w:r w:rsidRPr="003C31C7">
        <w:t>Rilevato tuttavia che con l’entrata in vigore della L. 80/2005 è stata espressamente prevista la possibilità di procedere alla sospensione del precetto ricorrendo gravi motivi;</w:t>
      </w:r>
    </w:p>
    <w:p w:rsidR="003C31C7" w:rsidRPr="003C31C7" w:rsidRDefault="003C31C7" w:rsidP="003C31C7">
      <w:pPr>
        <w:jc w:val="both"/>
      </w:pPr>
      <w:r w:rsidRPr="003C31C7">
        <w:t xml:space="preserve">Considerato che il decreto di omologa del verbale di conciliazione secondo il disposto di cui all’art 12 </w:t>
      </w:r>
      <w:proofErr w:type="spellStart"/>
      <w:r w:rsidRPr="003C31C7">
        <w:t>d.lvo</w:t>
      </w:r>
      <w:proofErr w:type="spellEnd"/>
      <w:r w:rsidRPr="003C31C7">
        <w:t xml:space="preserve"> 28/2010 deve intendersi alla stregua di titolo esecutivo; che non risulta pertanto a tal fine indispensabile l’apposizione della formula esecutiva e che tale interpretazione, peraltro suffragata da autorevole dottrina, trae convincimento dall’assunto secondo cui il legislatore ha espressamente indicato i casi in cui è indispensabile tale ulteriore adempimento formale; che, pertanto, va da sé come nel silenzio della legge il solo decreto di omologa possa essere sufficiente per intraprendere la procedura esecutiva; che tale soluzione risulta ulteriormente rafforzata dalla lettura sistematica degli </w:t>
      </w:r>
      <w:proofErr w:type="spellStart"/>
      <w:r w:rsidRPr="003C31C7">
        <w:t>artt</w:t>
      </w:r>
      <w:proofErr w:type="spellEnd"/>
      <w:r w:rsidRPr="003C31C7">
        <w:t xml:space="preserve"> 474 e 475 </w:t>
      </w:r>
      <w:proofErr w:type="spellStart"/>
      <w:r w:rsidRPr="003C31C7">
        <w:t>c.p.c.</w:t>
      </w:r>
      <w:proofErr w:type="spellEnd"/>
      <w:r w:rsidRPr="003C31C7">
        <w:t xml:space="preserve">; che, in particolare, tale ultima norma espressamente disciplina le ipotesi residuali in presenza delle quali è richiesta la specifica e preventiva apposizione della formula esecutiva; che dalla circostanza che l’art 475 </w:t>
      </w:r>
      <w:proofErr w:type="spellStart"/>
      <w:r w:rsidRPr="003C31C7">
        <w:t>c.p.c.</w:t>
      </w:r>
      <w:proofErr w:type="spellEnd"/>
      <w:r w:rsidRPr="003C31C7">
        <w:t xml:space="preserve"> non richiami la categoria degli atti ai quali la legge attribuisce una specifica efficacia esecutiva deve ritenersi che per il provvedimento di omologa della conciliazione che rientra all’interno di tale ampio </w:t>
      </w:r>
      <w:proofErr w:type="spellStart"/>
      <w:r w:rsidRPr="003C31C7">
        <w:t>genus</w:t>
      </w:r>
      <w:proofErr w:type="spellEnd"/>
      <w:r w:rsidRPr="003C31C7">
        <w:t xml:space="preserve">, non sia necessaria la formula esecutiva; che allo stesso tempo non soddisfano il requisito dei gravi motivi neppure gli altri profili di doglianza in quanto la procura ad </w:t>
      </w:r>
      <w:proofErr w:type="spellStart"/>
      <w:r w:rsidRPr="003C31C7">
        <w:t>litem</w:t>
      </w:r>
      <w:proofErr w:type="spellEnd"/>
      <w:r w:rsidRPr="003C31C7">
        <w:t xml:space="preserve"> risulta effettivamente e validamente apposta </w:t>
      </w:r>
      <w:proofErr w:type="spellStart"/>
      <w:r w:rsidRPr="003C31C7">
        <w:t>incalce</w:t>
      </w:r>
      <w:proofErr w:type="spellEnd"/>
      <w:r w:rsidRPr="003C31C7">
        <w:t xml:space="preserve"> dell’istanza di omologa ex art 12 e risulta conferita anche per la fase esecutiva e le argomentazioni in punto di merito appaiono, perlomeno allo stato, sfornite di adeguato riscontro probatorio; che, a titolo meramente esemplificativo, è sufficiente considerare che l’inserimento nell’atto di precetto della voce “compenso mediazione” vuole chiaramente alludere alle spettanze maturate dal procuratore della parte per l’attività di assistenza della stessa nella fase stragiudiziale e non di certo, e come di contro ha inteso significare l’attrice, ad un’indebita ripetizione di somme già corrisposte;</w:t>
      </w:r>
    </w:p>
    <w:p w:rsidR="003C31C7" w:rsidRPr="003C31C7" w:rsidRDefault="003C31C7" w:rsidP="003C31C7">
      <w:pPr>
        <w:jc w:val="both"/>
      </w:pPr>
      <w:r w:rsidRPr="003C31C7">
        <w:t xml:space="preserve">Considerato che, esaminando invece la posizione assunta in </w:t>
      </w:r>
      <w:proofErr w:type="spellStart"/>
      <w:r w:rsidRPr="003C31C7">
        <w:t>subiecta</w:t>
      </w:r>
      <w:proofErr w:type="spellEnd"/>
      <w:r w:rsidRPr="003C31C7">
        <w:t xml:space="preserve"> materia dalla dottrina, deve osservarsi che la natura cautelare di detta istanza di sospensione comporta che i “gravi motivi”, richiesti dall’art. 615 </w:t>
      </w:r>
      <w:proofErr w:type="spellStart"/>
      <w:r w:rsidRPr="003C31C7">
        <w:t>c.p.c.</w:t>
      </w:r>
      <w:proofErr w:type="spellEnd"/>
      <w:r w:rsidRPr="003C31C7">
        <w:t xml:space="preserve"> ai fini del relativo accoglimento, debbano essere individuati nei requisiti propri dell’azione cautelare (</w:t>
      </w:r>
      <w:proofErr w:type="spellStart"/>
      <w:r w:rsidRPr="003C31C7">
        <w:t>fumus</w:t>
      </w:r>
      <w:proofErr w:type="spellEnd"/>
      <w:r w:rsidRPr="003C31C7">
        <w:t xml:space="preserve"> boni </w:t>
      </w:r>
      <w:proofErr w:type="spellStart"/>
      <w:r w:rsidRPr="003C31C7">
        <w:t>juris</w:t>
      </w:r>
      <w:proofErr w:type="spellEnd"/>
      <w:r w:rsidRPr="003C31C7">
        <w:t xml:space="preserve"> e </w:t>
      </w:r>
      <w:proofErr w:type="spellStart"/>
      <w:r w:rsidRPr="003C31C7">
        <w:t>periculum</w:t>
      </w:r>
      <w:proofErr w:type="spellEnd"/>
      <w:r w:rsidRPr="003C31C7">
        <w:t xml:space="preserve"> in mora), con conseguente necessità, da parte del giudice, di valutare sia la presumibile fondatezza delle</w:t>
      </w:r>
    </w:p>
    <w:p w:rsidR="003C31C7" w:rsidRPr="003C31C7" w:rsidRDefault="003C31C7" w:rsidP="003C31C7">
      <w:pPr>
        <w:jc w:val="both"/>
      </w:pPr>
      <w:r w:rsidRPr="003C31C7">
        <w:t xml:space="preserve">ragioni dell’opposizione e sia la irreparabilità del pregiudizio che potrebbe derivare all’opponente dal compimento degli atti esecutivi, e di privilegiare, nella comparazione dei contrapposti interessi delle parti, quello del creditore </w:t>
      </w:r>
      <w:r w:rsidRPr="003C31C7">
        <w:lastRenderedPageBreak/>
        <w:t xml:space="preserve">procedente, poiché questi, se dovesse essergli inibita l’esecuzione, “correrebbe il rischio che il soggetto intimato possa rendersi </w:t>
      </w:r>
      <w:proofErr w:type="spellStart"/>
      <w:r w:rsidRPr="003C31C7">
        <w:t>impossidente</w:t>
      </w:r>
      <w:proofErr w:type="spellEnd"/>
      <w:r w:rsidRPr="003C31C7">
        <w:t>”</w:t>
      </w:r>
    </w:p>
    <w:p w:rsidR="003C31C7" w:rsidRPr="003C31C7" w:rsidRDefault="003C31C7" w:rsidP="003C31C7">
      <w:pPr>
        <w:jc w:val="both"/>
      </w:pPr>
      <w:r w:rsidRPr="003C31C7">
        <w:t>Rilevato che, come già anticipato, la convenuta all’atto della costituzione in giudizio ha tempestivamente sollevato il difetto di competenza per valore del Tribunale adito in favore dell’ufficio del Giudice di Pace; che tale circostanza non appare idonea a riverberare alcuna conseguenza significativa ai fini dell’accoglimento dell’istanza di sospensione posto che la pendenza di una questione in punto di competenza non consente di paralizzare l’esecuzione fondata su un titolo allo stato pienamente legittimo;</w:t>
      </w:r>
    </w:p>
    <w:p w:rsidR="003C31C7" w:rsidRPr="003C31C7" w:rsidRDefault="003C31C7" w:rsidP="003C31C7">
      <w:pPr>
        <w:jc w:val="both"/>
      </w:pPr>
      <w:r w:rsidRPr="003C31C7">
        <w:t xml:space="preserve">Visto l’art 615 comma 1 </w:t>
      </w:r>
      <w:proofErr w:type="spellStart"/>
      <w:r w:rsidRPr="003C31C7">
        <w:t>c.p.c.</w:t>
      </w:r>
      <w:proofErr w:type="spellEnd"/>
    </w:p>
    <w:p w:rsidR="003C31C7" w:rsidRPr="003C31C7" w:rsidRDefault="003C31C7" w:rsidP="003C31C7">
      <w:pPr>
        <w:jc w:val="both"/>
      </w:pPr>
      <w:r w:rsidRPr="003C31C7">
        <w:t>p.q.m.</w:t>
      </w:r>
    </w:p>
    <w:p w:rsidR="003C31C7" w:rsidRPr="003C31C7" w:rsidRDefault="003C31C7" w:rsidP="003C31C7">
      <w:pPr>
        <w:jc w:val="both"/>
      </w:pPr>
      <w:r w:rsidRPr="003C31C7">
        <w:t>Rigetta l’istanza di sospensione;</w:t>
      </w:r>
    </w:p>
    <w:p w:rsidR="003C31C7" w:rsidRPr="003C31C7" w:rsidRDefault="003C31C7" w:rsidP="003C31C7">
      <w:pPr>
        <w:jc w:val="both"/>
      </w:pPr>
      <w:r w:rsidRPr="003C31C7">
        <w:t>Lette le richieste delle parti;</w:t>
      </w:r>
    </w:p>
    <w:p w:rsidR="003C31C7" w:rsidRPr="003C31C7" w:rsidRDefault="003C31C7" w:rsidP="003C31C7">
      <w:pPr>
        <w:jc w:val="both"/>
      </w:pPr>
      <w:r w:rsidRPr="003C31C7">
        <w:t>Ritenuto di dover comunque fissare la precisazione delle conclusioni sulla questione pregiudiziale dell’incompetenza per valore;</w:t>
      </w:r>
    </w:p>
    <w:p w:rsidR="003C31C7" w:rsidRPr="003C31C7" w:rsidRDefault="003C31C7" w:rsidP="003C31C7">
      <w:pPr>
        <w:jc w:val="both"/>
      </w:pPr>
      <w:r w:rsidRPr="003C31C7">
        <w:t>p.q.m.</w:t>
      </w:r>
    </w:p>
    <w:p w:rsidR="003C31C7" w:rsidRPr="003C31C7" w:rsidRDefault="003C31C7" w:rsidP="003C31C7">
      <w:pPr>
        <w:jc w:val="both"/>
      </w:pPr>
      <w:r w:rsidRPr="003C31C7">
        <w:t>rinvia la causa all’udienza del 28 gennaio 2015 per la precisazione delle conclusioni sulla predetta eccezione;</w:t>
      </w:r>
    </w:p>
    <w:p w:rsidR="003C31C7" w:rsidRPr="003C31C7" w:rsidRDefault="003C31C7" w:rsidP="003C31C7">
      <w:pPr>
        <w:jc w:val="both"/>
      </w:pPr>
      <w:r w:rsidRPr="003C31C7">
        <w:t>Manda alla Cancelleria per le comunicazioni di rito.</w:t>
      </w:r>
    </w:p>
    <w:p w:rsidR="003C31C7" w:rsidRPr="003C31C7" w:rsidRDefault="003C31C7" w:rsidP="003C31C7">
      <w:pPr>
        <w:jc w:val="both"/>
      </w:pPr>
      <w:r w:rsidRPr="003C31C7">
        <w:t>Avezzano, 29 ottobre 2014</w:t>
      </w:r>
    </w:p>
    <w:p w:rsidR="003C31C7" w:rsidRPr="003C31C7" w:rsidRDefault="003C31C7" w:rsidP="003C31C7">
      <w:pPr>
        <w:jc w:val="both"/>
      </w:pPr>
      <w:r w:rsidRPr="003C31C7">
        <w:t>IL GIUDICE</w:t>
      </w:r>
    </w:p>
    <w:p w:rsidR="003C31C7" w:rsidRPr="003C31C7" w:rsidRDefault="003C31C7" w:rsidP="003C31C7">
      <w:pPr>
        <w:jc w:val="both"/>
      </w:pPr>
      <w:r w:rsidRPr="003C31C7">
        <w:t>Andrea DELL’ORSO</w:t>
      </w:r>
    </w:p>
    <w:p w:rsidR="004D3AC4" w:rsidRDefault="004D3AC4" w:rsidP="003C31C7">
      <w:pPr>
        <w:jc w:val="both"/>
      </w:pPr>
    </w:p>
    <w:sectPr w:rsidR="004D3AC4" w:rsidSect="003C31C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05" w:rsidRDefault="00503105" w:rsidP="003C31C7">
      <w:pPr>
        <w:spacing w:after="0" w:line="240" w:lineRule="auto"/>
      </w:pPr>
      <w:r>
        <w:separator/>
      </w:r>
    </w:p>
  </w:endnote>
  <w:endnote w:type="continuationSeparator" w:id="0">
    <w:p w:rsidR="00503105" w:rsidRDefault="00503105" w:rsidP="003C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28636"/>
      <w:docPartObj>
        <w:docPartGallery w:val="Page Numbers (Bottom of Page)"/>
        <w:docPartUnique/>
      </w:docPartObj>
    </w:sdtPr>
    <w:sdtContent>
      <w:p w:rsidR="003C31C7" w:rsidRDefault="003C31C7">
        <w:pPr>
          <w:pStyle w:val="Pidipagina"/>
          <w:jc w:val="center"/>
        </w:pPr>
        <w:r>
          <w:fldChar w:fldCharType="begin"/>
        </w:r>
        <w:r>
          <w:instrText>PAGE   \* MERGEFORMAT</w:instrText>
        </w:r>
        <w:r>
          <w:fldChar w:fldCharType="separate"/>
        </w:r>
        <w:r w:rsidR="007C4A73">
          <w:rPr>
            <w:noProof/>
          </w:rPr>
          <w:t>2</w:t>
        </w:r>
        <w:r>
          <w:fldChar w:fldCharType="end"/>
        </w:r>
      </w:p>
    </w:sdtContent>
  </w:sdt>
  <w:p w:rsidR="003C31C7" w:rsidRDefault="003C31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05" w:rsidRDefault="00503105" w:rsidP="003C31C7">
      <w:pPr>
        <w:spacing w:after="0" w:line="240" w:lineRule="auto"/>
      </w:pPr>
      <w:r>
        <w:separator/>
      </w:r>
    </w:p>
  </w:footnote>
  <w:footnote w:type="continuationSeparator" w:id="0">
    <w:p w:rsidR="00503105" w:rsidRDefault="00503105" w:rsidP="003C3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09"/>
    <w:rsid w:val="00321E09"/>
    <w:rsid w:val="003C31C7"/>
    <w:rsid w:val="004D3AC4"/>
    <w:rsid w:val="00503105"/>
    <w:rsid w:val="007C4A73"/>
    <w:rsid w:val="00DF1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1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C7"/>
    <w:rPr>
      <w:rFonts w:ascii="Tahoma" w:hAnsi="Tahoma" w:cs="Tahoma"/>
      <w:sz w:val="16"/>
      <w:szCs w:val="16"/>
    </w:rPr>
  </w:style>
  <w:style w:type="paragraph" w:styleId="Intestazione">
    <w:name w:val="header"/>
    <w:basedOn w:val="Normale"/>
    <w:link w:val="IntestazioneCarattere"/>
    <w:uiPriority w:val="99"/>
    <w:unhideWhenUsed/>
    <w:rsid w:val="003C3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1C7"/>
  </w:style>
  <w:style w:type="paragraph" w:styleId="Pidipagina">
    <w:name w:val="footer"/>
    <w:basedOn w:val="Normale"/>
    <w:link w:val="PidipaginaCarattere"/>
    <w:uiPriority w:val="99"/>
    <w:unhideWhenUsed/>
    <w:rsid w:val="003C3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31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1C7"/>
    <w:rPr>
      <w:rFonts w:ascii="Tahoma" w:hAnsi="Tahoma" w:cs="Tahoma"/>
      <w:sz w:val="16"/>
      <w:szCs w:val="16"/>
    </w:rPr>
  </w:style>
  <w:style w:type="paragraph" w:styleId="Intestazione">
    <w:name w:val="header"/>
    <w:basedOn w:val="Normale"/>
    <w:link w:val="IntestazioneCarattere"/>
    <w:uiPriority w:val="99"/>
    <w:unhideWhenUsed/>
    <w:rsid w:val="003C3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1C7"/>
  </w:style>
  <w:style w:type="paragraph" w:styleId="Pidipagina">
    <w:name w:val="footer"/>
    <w:basedOn w:val="Normale"/>
    <w:link w:val="PidipaginaCarattere"/>
    <w:uiPriority w:val="99"/>
    <w:unhideWhenUsed/>
    <w:rsid w:val="003C3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36976">
      <w:bodyDiv w:val="1"/>
      <w:marLeft w:val="0"/>
      <w:marRight w:val="0"/>
      <w:marTop w:val="0"/>
      <w:marBottom w:val="0"/>
      <w:divBdr>
        <w:top w:val="none" w:sz="0" w:space="0" w:color="auto"/>
        <w:left w:val="none" w:sz="0" w:space="0" w:color="auto"/>
        <w:bottom w:val="none" w:sz="0" w:space="0" w:color="auto"/>
        <w:right w:val="none" w:sz="0" w:space="0" w:color="auto"/>
      </w:divBdr>
      <w:divsChild>
        <w:div w:id="77793071">
          <w:marLeft w:val="0"/>
          <w:marRight w:val="0"/>
          <w:marTop w:val="0"/>
          <w:marBottom w:val="300"/>
          <w:divBdr>
            <w:top w:val="none" w:sz="0" w:space="0" w:color="auto"/>
            <w:left w:val="none" w:sz="0" w:space="0" w:color="auto"/>
            <w:bottom w:val="none" w:sz="0" w:space="0" w:color="auto"/>
            <w:right w:val="none" w:sz="0" w:space="0" w:color="auto"/>
          </w:divBdr>
          <w:divsChild>
            <w:div w:id="1212838727">
              <w:marLeft w:val="0"/>
              <w:marRight w:val="0"/>
              <w:marTop w:val="150"/>
              <w:marBottom w:val="0"/>
              <w:divBdr>
                <w:top w:val="none" w:sz="0" w:space="0" w:color="auto"/>
                <w:left w:val="none" w:sz="0" w:space="0" w:color="auto"/>
                <w:bottom w:val="none" w:sz="0" w:space="0" w:color="auto"/>
                <w:right w:val="none" w:sz="0" w:space="0" w:color="auto"/>
              </w:divBdr>
            </w:div>
          </w:divsChild>
        </w:div>
        <w:div w:id="1640260703">
          <w:marLeft w:val="0"/>
          <w:marRight w:val="0"/>
          <w:marTop w:val="0"/>
          <w:marBottom w:val="0"/>
          <w:divBdr>
            <w:top w:val="none" w:sz="0" w:space="0" w:color="auto"/>
            <w:left w:val="none" w:sz="0" w:space="0" w:color="auto"/>
            <w:bottom w:val="none" w:sz="0" w:space="0" w:color="auto"/>
            <w:right w:val="none" w:sz="0" w:space="0" w:color="auto"/>
          </w:divBdr>
          <w:divsChild>
            <w:div w:id="1045639090">
              <w:marLeft w:val="0"/>
              <w:marRight w:val="0"/>
              <w:marTop w:val="0"/>
              <w:marBottom w:val="0"/>
              <w:divBdr>
                <w:top w:val="none" w:sz="0" w:space="0" w:color="auto"/>
                <w:left w:val="none" w:sz="0" w:space="0" w:color="auto"/>
                <w:bottom w:val="none" w:sz="0" w:space="0" w:color="auto"/>
                <w:right w:val="none" w:sz="0" w:space="0" w:color="auto"/>
              </w:divBdr>
              <w:divsChild>
                <w:div w:id="473107969">
                  <w:marLeft w:val="180"/>
                  <w:marRight w:val="180"/>
                  <w:marTop w:val="180"/>
                  <w:marBottom w:val="0"/>
                  <w:divBdr>
                    <w:top w:val="none" w:sz="0" w:space="0" w:color="auto"/>
                    <w:left w:val="none" w:sz="0" w:space="0" w:color="auto"/>
                    <w:bottom w:val="none" w:sz="0" w:space="0" w:color="auto"/>
                    <w:right w:val="none" w:sz="0" w:space="0" w:color="auto"/>
                  </w:divBdr>
                </w:div>
              </w:divsChild>
            </w:div>
          </w:divsChild>
        </w:div>
      </w:divsChild>
    </w:div>
    <w:div w:id="742727834">
      <w:bodyDiv w:val="1"/>
      <w:marLeft w:val="0"/>
      <w:marRight w:val="0"/>
      <w:marTop w:val="0"/>
      <w:marBottom w:val="0"/>
      <w:divBdr>
        <w:top w:val="none" w:sz="0" w:space="0" w:color="auto"/>
        <w:left w:val="none" w:sz="0" w:space="0" w:color="auto"/>
        <w:bottom w:val="none" w:sz="0" w:space="0" w:color="auto"/>
        <w:right w:val="none" w:sz="0" w:space="0" w:color="auto"/>
      </w:divBdr>
      <w:divsChild>
        <w:div w:id="1761294807">
          <w:marLeft w:val="0"/>
          <w:marRight w:val="0"/>
          <w:marTop w:val="0"/>
          <w:marBottom w:val="300"/>
          <w:divBdr>
            <w:top w:val="none" w:sz="0" w:space="0" w:color="auto"/>
            <w:left w:val="none" w:sz="0" w:space="0" w:color="auto"/>
            <w:bottom w:val="none" w:sz="0" w:space="0" w:color="auto"/>
            <w:right w:val="none" w:sz="0" w:space="0" w:color="auto"/>
          </w:divBdr>
          <w:divsChild>
            <w:div w:id="1878736656">
              <w:marLeft w:val="0"/>
              <w:marRight w:val="0"/>
              <w:marTop w:val="150"/>
              <w:marBottom w:val="0"/>
              <w:divBdr>
                <w:top w:val="none" w:sz="0" w:space="0" w:color="auto"/>
                <w:left w:val="none" w:sz="0" w:space="0" w:color="auto"/>
                <w:bottom w:val="none" w:sz="0" w:space="0" w:color="auto"/>
                <w:right w:val="none" w:sz="0" w:space="0" w:color="auto"/>
              </w:divBdr>
            </w:div>
          </w:divsChild>
        </w:div>
        <w:div w:id="1006370960">
          <w:marLeft w:val="0"/>
          <w:marRight w:val="0"/>
          <w:marTop w:val="0"/>
          <w:marBottom w:val="0"/>
          <w:divBdr>
            <w:top w:val="none" w:sz="0" w:space="0" w:color="auto"/>
            <w:left w:val="none" w:sz="0" w:space="0" w:color="auto"/>
            <w:bottom w:val="none" w:sz="0" w:space="0" w:color="auto"/>
            <w:right w:val="none" w:sz="0" w:space="0" w:color="auto"/>
          </w:divBdr>
          <w:divsChild>
            <w:div w:id="921839427">
              <w:marLeft w:val="0"/>
              <w:marRight w:val="0"/>
              <w:marTop w:val="0"/>
              <w:marBottom w:val="0"/>
              <w:divBdr>
                <w:top w:val="none" w:sz="0" w:space="0" w:color="auto"/>
                <w:left w:val="none" w:sz="0" w:space="0" w:color="auto"/>
                <w:bottom w:val="none" w:sz="0" w:space="0" w:color="auto"/>
                <w:right w:val="none" w:sz="0" w:space="0" w:color="auto"/>
              </w:divBdr>
              <w:divsChild>
                <w:div w:id="2102331818">
                  <w:marLeft w:val="180"/>
                  <w:marRight w:val="18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Fisso1</dc:creator>
  <cp:lastModifiedBy>Fisso1</cp:lastModifiedBy>
  <cp:revision>3</cp:revision>
  <cp:lastPrinted>2015-09-10T13:52:00Z</cp:lastPrinted>
  <dcterms:created xsi:type="dcterms:W3CDTF">2015-09-10T13:51:00Z</dcterms:created>
  <dcterms:modified xsi:type="dcterms:W3CDTF">2015-09-10T13:53:00Z</dcterms:modified>
</cp:coreProperties>
</file>